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E6AAC" w14:textId="77777777" w:rsidR="002E1093" w:rsidRPr="00FC5495" w:rsidRDefault="002E1093" w:rsidP="00A86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center"/>
        <w:rPr>
          <w:rFonts w:ascii="Century Gothic" w:hAnsi="Century Gothic"/>
          <w:sz w:val="22"/>
          <w:szCs w:val="22"/>
        </w:rPr>
      </w:pPr>
      <w:r w:rsidRPr="00FC5495">
        <w:rPr>
          <w:rFonts w:ascii="Century Gothic" w:hAnsi="Century Gothic"/>
          <w:sz w:val="22"/>
          <w:szCs w:val="22"/>
        </w:rPr>
        <w:t>Jornada Técnica Informativa</w:t>
      </w:r>
    </w:p>
    <w:p w14:paraId="6F4319CD" w14:textId="77777777" w:rsidR="00273118" w:rsidRPr="00FC5495" w:rsidRDefault="002E1093" w:rsidP="00A86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center"/>
        <w:rPr>
          <w:rFonts w:ascii="Century Gothic" w:hAnsi="Century Gothic" w:cs="Calibri Light"/>
          <w:b/>
          <w:bCs/>
          <w:sz w:val="22"/>
          <w:szCs w:val="22"/>
        </w:rPr>
      </w:pPr>
      <w:r w:rsidRPr="00FC5495">
        <w:rPr>
          <w:rFonts w:ascii="Century Gothic" w:hAnsi="Century Gothic"/>
          <w:b/>
          <w:sz w:val="22"/>
          <w:szCs w:val="22"/>
        </w:rPr>
        <w:t>“</w:t>
      </w:r>
      <w:r w:rsidR="00273118" w:rsidRPr="00FC5495">
        <w:rPr>
          <w:rFonts w:ascii="Century Gothic" w:hAnsi="Century Gothic" w:cs="Calibri Light"/>
          <w:b/>
          <w:bCs/>
          <w:sz w:val="22"/>
          <w:szCs w:val="22"/>
        </w:rPr>
        <w:t xml:space="preserve">Oportunidades de mejora energética en </w:t>
      </w:r>
    </w:p>
    <w:p w14:paraId="510F040D" w14:textId="4825DAAE" w:rsidR="002E1093" w:rsidRPr="00FC5495" w:rsidRDefault="00273118" w:rsidP="00A86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center"/>
        <w:rPr>
          <w:rFonts w:ascii="Century Gothic" w:hAnsi="Century Gothic" w:cs="Calibri Light"/>
          <w:b/>
          <w:bCs/>
          <w:color w:val="auto"/>
          <w:sz w:val="22"/>
          <w:szCs w:val="22"/>
        </w:rPr>
      </w:pPr>
      <w:r w:rsidRPr="00FC5495">
        <w:rPr>
          <w:rFonts w:ascii="Century Gothic" w:hAnsi="Century Gothic" w:cs="Calibri Light"/>
          <w:b/>
          <w:bCs/>
          <w:sz w:val="22"/>
          <w:szCs w:val="22"/>
        </w:rPr>
        <w:t>el transporte del sector de la distribución comercial</w:t>
      </w:r>
      <w:r w:rsidR="002E1093" w:rsidRPr="00FC5495">
        <w:rPr>
          <w:rFonts w:ascii="Century Gothic" w:hAnsi="Century Gothic" w:cs="Calibri Light"/>
          <w:b/>
          <w:bCs/>
          <w:sz w:val="22"/>
          <w:szCs w:val="22"/>
        </w:rPr>
        <w:t>”</w:t>
      </w:r>
    </w:p>
    <w:p w14:paraId="481B5012" w14:textId="3A01336B" w:rsidR="002E1093" w:rsidRPr="00FC5495" w:rsidRDefault="00FC7393" w:rsidP="00A86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center"/>
        <w:rPr>
          <w:rFonts w:ascii="Century Gothic" w:hAnsi="Century Gothic" w:cs="Calibri Light"/>
          <w:bCs/>
          <w:i/>
          <w:sz w:val="22"/>
          <w:szCs w:val="22"/>
        </w:rPr>
      </w:pPr>
      <w:r w:rsidRPr="00FC5495">
        <w:rPr>
          <w:rFonts w:ascii="Century Gothic" w:hAnsi="Century Gothic" w:cs="Calibri Light"/>
          <w:bCs/>
          <w:i/>
          <w:sz w:val="22"/>
          <w:szCs w:val="22"/>
        </w:rPr>
        <w:t>Incentivos de la Junta de Andalucía</w:t>
      </w:r>
    </w:p>
    <w:p w14:paraId="5ADBAB36" w14:textId="77777777" w:rsidR="002E1093" w:rsidRPr="00FC5495" w:rsidRDefault="002E1093" w:rsidP="002E1093">
      <w:pPr>
        <w:jc w:val="both"/>
        <w:rPr>
          <w:rFonts w:ascii="Century Gothic" w:hAnsi="Century Gothic" w:cs="Calibri Light"/>
          <w:sz w:val="22"/>
          <w:szCs w:val="22"/>
        </w:rPr>
      </w:pPr>
    </w:p>
    <w:p w14:paraId="16D3248F" w14:textId="08384F7E" w:rsidR="00FA0ED6" w:rsidRPr="00FC5495" w:rsidRDefault="00A8679B" w:rsidP="00A8679B">
      <w:pPr>
        <w:rPr>
          <w:rFonts w:ascii="Century Gothic" w:hAnsi="Century Gothic" w:cs="Calibri Light"/>
          <w:sz w:val="22"/>
          <w:szCs w:val="22"/>
        </w:rPr>
      </w:pPr>
      <w:r w:rsidRPr="00FC5495">
        <w:rPr>
          <w:rFonts w:ascii="Century Gothic" w:hAnsi="Century Gothic" w:cs="Calibri Light"/>
          <w:b/>
          <w:bCs/>
          <w:sz w:val="22"/>
          <w:szCs w:val="22"/>
        </w:rPr>
        <w:t>FECHA</w:t>
      </w:r>
      <w:r w:rsidRPr="00FC5495">
        <w:rPr>
          <w:rFonts w:ascii="Century Gothic" w:hAnsi="Century Gothic" w:cs="Calibri Light"/>
          <w:bCs/>
          <w:sz w:val="22"/>
          <w:szCs w:val="22"/>
        </w:rPr>
        <w:t xml:space="preserve">: </w:t>
      </w:r>
      <w:r w:rsidRPr="00FC5495">
        <w:rPr>
          <w:rFonts w:ascii="Century Gothic" w:hAnsi="Century Gothic" w:cs="Calibri Light"/>
          <w:bCs/>
          <w:sz w:val="22"/>
          <w:szCs w:val="22"/>
        </w:rPr>
        <w:tab/>
      </w:r>
      <w:proofErr w:type="gramStart"/>
      <w:r w:rsidR="000608F7" w:rsidRPr="00FC5495">
        <w:rPr>
          <w:rFonts w:ascii="Century Gothic" w:hAnsi="Century Gothic" w:cs="Calibri Light"/>
          <w:bCs/>
          <w:sz w:val="22"/>
          <w:szCs w:val="22"/>
        </w:rPr>
        <w:t>Martes</w:t>
      </w:r>
      <w:proofErr w:type="gramEnd"/>
      <w:r w:rsidRPr="00FC5495">
        <w:rPr>
          <w:rFonts w:ascii="Century Gothic" w:hAnsi="Century Gothic" w:cs="Calibri Light"/>
          <w:bCs/>
          <w:sz w:val="22"/>
          <w:szCs w:val="22"/>
        </w:rPr>
        <w:t xml:space="preserve">, </w:t>
      </w:r>
      <w:r w:rsidR="000608F7" w:rsidRPr="00FC5495">
        <w:rPr>
          <w:rFonts w:ascii="Century Gothic" w:hAnsi="Century Gothic" w:cs="Calibri Light"/>
          <w:sz w:val="22"/>
          <w:szCs w:val="22"/>
        </w:rPr>
        <w:t>30</w:t>
      </w:r>
      <w:r w:rsidRPr="00FC5495">
        <w:rPr>
          <w:rFonts w:ascii="Century Gothic" w:hAnsi="Century Gothic" w:cs="Calibri Light"/>
          <w:sz w:val="22"/>
          <w:szCs w:val="22"/>
        </w:rPr>
        <w:t xml:space="preserve"> de abril de 2019. </w:t>
      </w:r>
    </w:p>
    <w:p w14:paraId="31F23AB1" w14:textId="451F6311" w:rsidR="00FA0ED6" w:rsidRPr="00FC5495" w:rsidRDefault="00A8679B" w:rsidP="00A8679B">
      <w:pPr>
        <w:rPr>
          <w:rFonts w:ascii="Century Gothic" w:hAnsi="Century Gothic" w:cs="Calibri Light"/>
          <w:sz w:val="22"/>
          <w:szCs w:val="22"/>
        </w:rPr>
      </w:pPr>
      <w:r w:rsidRPr="00FC5495">
        <w:rPr>
          <w:rFonts w:ascii="Century Gothic" w:hAnsi="Century Gothic" w:cs="Calibri Light"/>
          <w:b/>
          <w:sz w:val="22"/>
          <w:szCs w:val="22"/>
        </w:rPr>
        <w:t>HORA:</w:t>
      </w:r>
      <w:r w:rsidRPr="00FC5495">
        <w:rPr>
          <w:rFonts w:ascii="Century Gothic" w:hAnsi="Century Gothic" w:cs="Calibri Light"/>
          <w:sz w:val="22"/>
          <w:szCs w:val="22"/>
        </w:rPr>
        <w:t xml:space="preserve"> </w:t>
      </w:r>
      <w:r w:rsidRPr="00FC5495">
        <w:rPr>
          <w:rFonts w:ascii="Century Gothic" w:hAnsi="Century Gothic" w:cs="Calibri Light"/>
          <w:sz w:val="22"/>
          <w:szCs w:val="22"/>
        </w:rPr>
        <w:tab/>
      </w:r>
      <w:r w:rsidR="000608F7" w:rsidRPr="00FC5495">
        <w:rPr>
          <w:rFonts w:ascii="Century Gothic" w:hAnsi="Century Gothic" w:cs="Calibri Light"/>
          <w:sz w:val="22"/>
          <w:szCs w:val="22"/>
        </w:rPr>
        <w:t>10</w:t>
      </w:r>
      <w:r w:rsidRPr="00FC5495">
        <w:rPr>
          <w:rFonts w:ascii="Century Gothic" w:hAnsi="Century Gothic" w:cs="Calibri Light"/>
          <w:sz w:val="22"/>
          <w:szCs w:val="22"/>
        </w:rPr>
        <w:t>:</w:t>
      </w:r>
      <w:r w:rsidR="000608F7" w:rsidRPr="00FC5495">
        <w:rPr>
          <w:rFonts w:ascii="Century Gothic" w:hAnsi="Century Gothic" w:cs="Calibri Light"/>
          <w:sz w:val="22"/>
          <w:szCs w:val="22"/>
        </w:rPr>
        <w:t>00</w:t>
      </w:r>
      <w:r w:rsidRPr="00FC5495">
        <w:rPr>
          <w:rFonts w:ascii="Century Gothic" w:hAnsi="Century Gothic" w:cs="Calibri Light"/>
          <w:sz w:val="22"/>
          <w:szCs w:val="22"/>
        </w:rPr>
        <w:t xml:space="preserve">h. </w:t>
      </w:r>
    </w:p>
    <w:p w14:paraId="2B88B648" w14:textId="36CC5FEE" w:rsidR="00A8679B" w:rsidRPr="00FC5495" w:rsidRDefault="00A8679B" w:rsidP="00A8679B">
      <w:pPr>
        <w:rPr>
          <w:rFonts w:ascii="Century Gothic" w:hAnsi="Century Gothic" w:cs="Calibri Light"/>
          <w:sz w:val="22"/>
          <w:szCs w:val="22"/>
        </w:rPr>
      </w:pPr>
      <w:r w:rsidRPr="00FC5495">
        <w:rPr>
          <w:rFonts w:ascii="Century Gothic" w:hAnsi="Century Gothic" w:cs="Calibri Light"/>
          <w:b/>
          <w:bCs/>
          <w:sz w:val="22"/>
          <w:szCs w:val="22"/>
        </w:rPr>
        <w:t>LUGAR:</w:t>
      </w:r>
      <w:r w:rsidRPr="00FC5495">
        <w:rPr>
          <w:rFonts w:ascii="Century Gothic" w:hAnsi="Century Gothic" w:cs="Calibri Light"/>
          <w:bCs/>
          <w:sz w:val="22"/>
          <w:szCs w:val="22"/>
        </w:rPr>
        <w:t xml:space="preserve"> </w:t>
      </w:r>
      <w:r w:rsidRPr="00FC5495">
        <w:rPr>
          <w:rFonts w:ascii="Century Gothic" w:hAnsi="Century Gothic" w:cs="Calibri Light"/>
          <w:bCs/>
          <w:sz w:val="22"/>
          <w:szCs w:val="22"/>
        </w:rPr>
        <w:tab/>
      </w:r>
      <w:r w:rsidR="000608F7" w:rsidRPr="00FC5495">
        <w:rPr>
          <w:rFonts w:ascii="Century Gothic" w:hAnsi="Century Gothic" w:cs="Calibri Light"/>
          <w:sz w:val="22"/>
          <w:szCs w:val="22"/>
        </w:rPr>
        <w:t>Confederación de Empresarios de Andalucía (CEA)</w:t>
      </w:r>
      <w:r w:rsidRPr="00FC5495">
        <w:rPr>
          <w:rFonts w:ascii="Century Gothic" w:hAnsi="Century Gothic" w:cs="Calibri Light"/>
          <w:sz w:val="22"/>
          <w:szCs w:val="22"/>
        </w:rPr>
        <w:t xml:space="preserve">. </w:t>
      </w:r>
    </w:p>
    <w:p w14:paraId="36C5BC4D" w14:textId="3F92F4F2" w:rsidR="00A8679B" w:rsidRPr="00FC5495" w:rsidRDefault="000608F7" w:rsidP="00A8679B">
      <w:pPr>
        <w:ind w:left="708" w:firstLine="708"/>
        <w:rPr>
          <w:rFonts w:ascii="Century Gothic" w:hAnsi="Century Gothic" w:cs="Calibri Light"/>
          <w:sz w:val="22"/>
          <w:szCs w:val="22"/>
        </w:rPr>
      </w:pPr>
      <w:r w:rsidRPr="00FC5495">
        <w:rPr>
          <w:rFonts w:ascii="Century Gothic" w:hAnsi="Century Gothic" w:cs="Calibri Light"/>
          <w:sz w:val="22"/>
          <w:szCs w:val="22"/>
        </w:rPr>
        <w:t xml:space="preserve">C/Arquímedes, 2. </w:t>
      </w:r>
      <w:r w:rsidR="0047623B" w:rsidRPr="00FC5495">
        <w:rPr>
          <w:rFonts w:ascii="Century Gothic" w:hAnsi="Century Gothic" w:cs="Calibri Light"/>
          <w:sz w:val="22"/>
          <w:szCs w:val="22"/>
        </w:rPr>
        <w:t>PCT</w:t>
      </w:r>
      <w:r w:rsidRPr="00FC5495">
        <w:rPr>
          <w:rFonts w:ascii="Century Gothic" w:hAnsi="Century Gothic" w:cs="Calibri Light"/>
          <w:sz w:val="22"/>
          <w:szCs w:val="22"/>
        </w:rPr>
        <w:t xml:space="preserve"> Cartuja. Sevilla</w:t>
      </w:r>
      <w:r w:rsidR="00A8679B" w:rsidRPr="00FC5495">
        <w:rPr>
          <w:rFonts w:ascii="Century Gothic" w:hAnsi="Century Gothic" w:cs="Calibri Light"/>
          <w:sz w:val="22"/>
          <w:szCs w:val="22"/>
        </w:rPr>
        <w:t>.</w:t>
      </w:r>
    </w:p>
    <w:p w14:paraId="5AD5AF23" w14:textId="77777777" w:rsidR="00A8679B" w:rsidRPr="00FC5495" w:rsidRDefault="00A8679B" w:rsidP="00A8679B">
      <w:pPr>
        <w:rPr>
          <w:rFonts w:ascii="Century Gothic" w:hAnsi="Century Gothic" w:cs="Calibri Light"/>
          <w:sz w:val="22"/>
          <w:szCs w:val="22"/>
        </w:rPr>
      </w:pPr>
    </w:p>
    <w:p w14:paraId="3E16F3FC" w14:textId="5F604CA5" w:rsidR="00B06682" w:rsidRPr="00FA0ED6" w:rsidRDefault="00B06682" w:rsidP="00B06682">
      <w:pPr>
        <w:autoSpaceDE w:val="0"/>
        <w:autoSpaceDN w:val="0"/>
        <w:jc w:val="both"/>
        <w:rPr>
          <w:rFonts w:ascii="Century Gothic" w:hAnsi="Century Gothic" w:cs="Arial"/>
          <w:i/>
          <w:iCs/>
          <w:sz w:val="22"/>
          <w:szCs w:val="22"/>
        </w:rPr>
      </w:pPr>
      <w:r w:rsidRPr="00FA0ED6">
        <w:rPr>
          <w:rFonts w:ascii="Century Gothic" w:hAnsi="Century Gothic" w:cs="Arial"/>
          <w:i/>
          <w:iCs/>
          <w:sz w:val="22"/>
          <w:szCs w:val="22"/>
        </w:rPr>
        <w:t>La distribución comercial</w:t>
      </w:r>
      <w:r w:rsidRPr="00FA0ED6">
        <w:rPr>
          <w:rFonts w:ascii="Century Gothic" w:hAnsi="Century Gothic" w:cs="Arial"/>
          <w:b/>
          <w:i/>
          <w:iCs/>
          <w:sz w:val="22"/>
          <w:szCs w:val="22"/>
        </w:rPr>
        <w:t xml:space="preserve"> </w:t>
      </w:r>
      <w:r w:rsidRPr="00FA0ED6">
        <w:rPr>
          <w:rFonts w:ascii="Century Gothic" w:hAnsi="Century Gothic" w:cs="Arial"/>
          <w:i/>
          <w:iCs/>
          <w:sz w:val="22"/>
          <w:szCs w:val="22"/>
        </w:rPr>
        <w:t xml:space="preserve">viene invirtiendo desde hace años recursos y esfuerzos en tecnologías más respetuosas con el medio ambiente, minimizando su impacto ambiental, reduciendo emisiones de gases de efecto invernadero y apostando por las nuevas energías y la eficiencia energética. </w:t>
      </w:r>
    </w:p>
    <w:p w14:paraId="0C6931A8" w14:textId="3AA2BA18" w:rsidR="00AD06FA" w:rsidRPr="00FA0ED6" w:rsidRDefault="00AD06FA" w:rsidP="00B06682">
      <w:pPr>
        <w:autoSpaceDE w:val="0"/>
        <w:autoSpaceDN w:val="0"/>
        <w:jc w:val="both"/>
        <w:rPr>
          <w:rFonts w:ascii="Century Gothic" w:hAnsi="Century Gothic" w:cs="Arial"/>
          <w:i/>
          <w:iCs/>
          <w:sz w:val="22"/>
          <w:szCs w:val="22"/>
        </w:rPr>
      </w:pPr>
    </w:p>
    <w:p w14:paraId="0FCA102D" w14:textId="13E36EDA" w:rsidR="00AD06FA" w:rsidRPr="00FA0ED6" w:rsidRDefault="00AD06FA" w:rsidP="00B06682">
      <w:pPr>
        <w:autoSpaceDE w:val="0"/>
        <w:autoSpaceDN w:val="0"/>
        <w:jc w:val="both"/>
        <w:rPr>
          <w:rFonts w:ascii="Century Gothic" w:hAnsi="Century Gothic" w:cs="Arial"/>
          <w:i/>
          <w:iCs/>
          <w:sz w:val="22"/>
          <w:szCs w:val="22"/>
        </w:rPr>
      </w:pPr>
      <w:r w:rsidRPr="00FA0ED6">
        <w:rPr>
          <w:rFonts w:ascii="Century Gothic" w:hAnsi="Century Gothic" w:cs="Arial"/>
          <w:i/>
          <w:iCs/>
          <w:sz w:val="22"/>
          <w:szCs w:val="22"/>
        </w:rPr>
        <w:t xml:space="preserve">En este sentido, </w:t>
      </w:r>
      <w:r w:rsidR="00454004" w:rsidRPr="00FA0ED6">
        <w:rPr>
          <w:rFonts w:ascii="Century Gothic" w:hAnsi="Century Gothic" w:cs="Arial"/>
          <w:i/>
          <w:iCs/>
          <w:sz w:val="22"/>
          <w:szCs w:val="22"/>
        </w:rPr>
        <w:t xml:space="preserve">el transporte constituye un </w:t>
      </w:r>
      <w:r w:rsidR="005A5037" w:rsidRPr="00FA0ED6">
        <w:rPr>
          <w:rFonts w:ascii="Century Gothic" w:hAnsi="Century Gothic" w:cs="Arial"/>
          <w:i/>
          <w:iCs/>
          <w:sz w:val="22"/>
          <w:szCs w:val="22"/>
        </w:rPr>
        <w:t>factor</w:t>
      </w:r>
      <w:r w:rsidR="00454004" w:rsidRPr="00FA0ED6">
        <w:rPr>
          <w:rFonts w:ascii="Century Gothic" w:hAnsi="Century Gothic" w:cs="Arial"/>
          <w:i/>
          <w:iCs/>
          <w:sz w:val="22"/>
          <w:szCs w:val="22"/>
        </w:rPr>
        <w:t xml:space="preserve"> clave</w:t>
      </w:r>
      <w:r w:rsidR="002B6E27" w:rsidRPr="00FA0ED6">
        <w:rPr>
          <w:rFonts w:ascii="Century Gothic" w:hAnsi="Century Gothic" w:cs="Arial"/>
          <w:i/>
          <w:iCs/>
          <w:sz w:val="22"/>
          <w:szCs w:val="22"/>
        </w:rPr>
        <w:t xml:space="preserve"> </w:t>
      </w:r>
      <w:r w:rsidR="005A5037" w:rsidRPr="00FA0ED6">
        <w:rPr>
          <w:rFonts w:ascii="Century Gothic" w:hAnsi="Century Gothic" w:cs="Arial"/>
          <w:i/>
          <w:iCs/>
          <w:sz w:val="22"/>
          <w:szCs w:val="22"/>
        </w:rPr>
        <w:t>sobre</w:t>
      </w:r>
      <w:r w:rsidR="002B6E27" w:rsidRPr="00FA0ED6">
        <w:rPr>
          <w:rFonts w:ascii="Century Gothic" w:hAnsi="Century Gothic" w:cs="Arial"/>
          <w:i/>
          <w:iCs/>
          <w:sz w:val="22"/>
          <w:szCs w:val="22"/>
        </w:rPr>
        <w:t xml:space="preserve"> el que se está realizando</w:t>
      </w:r>
      <w:r w:rsidR="005A5037" w:rsidRPr="00FA0ED6">
        <w:rPr>
          <w:rFonts w:ascii="Century Gothic" w:hAnsi="Century Gothic" w:cs="Arial"/>
          <w:i/>
          <w:iCs/>
          <w:sz w:val="22"/>
          <w:szCs w:val="22"/>
        </w:rPr>
        <w:t xml:space="preserve"> una significativa apuesta </w:t>
      </w:r>
      <w:r w:rsidR="00334959" w:rsidRPr="00FA0ED6">
        <w:rPr>
          <w:rFonts w:ascii="Century Gothic" w:hAnsi="Century Gothic" w:cs="Arial"/>
          <w:i/>
          <w:iCs/>
          <w:sz w:val="22"/>
          <w:szCs w:val="22"/>
        </w:rPr>
        <w:t>en base a</w:t>
      </w:r>
      <w:r w:rsidR="00321D5F" w:rsidRPr="00FA0ED6">
        <w:rPr>
          <w:rFonts w:ascii="Century Gothic" w:hAnsi="Century Gothic" w:cs="Arial"/>
          <w:i/>
          <w:iCs/>
          <w:sz w:val="22"/>
          <w:szCs w:val="22"/>
        </w:rPr>
        <w:t xml:space="preserve"> nuevos medios de transporte impulsados por combustibles alternativos al petróleo (gas, eléctricos, etc.)</w:t>
      </w:r>
      <w:r w:rsidR="008E75E2" w:rsidRPr="00FA0ED6">
        <w:rPr>
          <w:rFonts w:ascii="Century Gothic" w:hAnsi="Century Gothic" w:cs="Arial"/>
          <w:i/>
          <w:iCs/>
          <w:sz w:val="22"/>
          <w:szCs w:val="22"/>
        </w:rPr>
        <w:t>, reduciendo emisiones sin restar eficiencia al sistema</w:t>
      </w:r>
      <w:r w:rsidR="009F1D0D" w:rsidRPr="00FA0ED6">
        <w:rPr>
          <w:rFonts w:ascii="Century Gothic" w:hAnsi="Century Gothic" w:cs="Arial"/>
          <w:i/>
          <w:iCs/>
          <w:sz w:val="22"/>
          <w:szCs w:val="22"/>
        </w:rPr>
        <w:t xml:space="preserve"> a través de la cadena agroalimentaria</w:t>
      </w:r>
      <w:r w:rsidR="008C09D8" w:rsidRPr="00FA0ED6">
        <w:rPr>
          <w:rFonts w:ascii="Century Gothic" w:hAnsi="Century Gothic" w:cs="Arial"/>
          <w:i/>
          <w:iCs/>
          <w:sz w:val="22"/>
          <w:szCs w:val="22"/>
        </w:rPr>
        <w:t>,</w:t>
      </w:r>
      <w:r w:rsidR="009F1D0D" w:rsidRPr="00FA0ED6">
        <w:rPr>
          <w:rFonts w:ascii="Century Gothic" w:hAnsi="Century Gothic" w:cs="Arial"/>
          <w:i/>
          <w:iCs/>
          <w:sz w:val="22"/>
          <w:szCs w:val="22"/>
        </w:rPr>
        <w:t xml:space="preserve"> y manteniendo el adecuado servicio a los consumidores.</w:t>
      </w:r>
    </w:p>
    <w:p w14:paraId="17205BCB" w14:textId="4F6E2FDF" w:rsidR="00DB062D" w:rsidRPr="00FA0ED6" w:rsidRDefault="00DB062D" w:rsidP="00B06682">
      <w:pPr>
        <w:autoSpaceDE w:val="0"/>
        <w:autoSpaceDN w:val="0"/>
        <w:jc w:val="both"/>
        <w:rPr>
          <w:rFonts w:ascii="Century Gothic" w:hAnsi="Century Gothic" w:cs="Arial"/>
          <w:i/>
          <w:iCs/>
          <w:sz w:val="22"/>
          <w:szCs w:val="22"/>
        </w:rPr>
      </w:pPr>
    </w:p>
    <w:p w14:paraId="512F4F88" w14:textId="71EB995F" w:rsidR="00DB062D" w:rsidRPr="00FA0ED6" w:rsidRDefault="00DB062D" w:rsidP="00B06682">
      <w:pPr>
        <w:autoSpaceDE w:val="0"/>
        <w:autoSpaceDN w:val="0"/>
        <w:jc w:val="both"/>
        <w:rPr>
          <w:rFonts w:ascii="Century Gothic" w:hAnsi="Century Gothic" w:cs="Arial"/>
          <w:i/>
          <w:iCs/>
          <w:sz w:val="22"/>
          <w:szCs w:val="22"/>
        </w:rPr>
      </w:pPr>
      <w:r w:rsidRPr="00FA0ED6">
        <w:rPr>
          <w:rFonts w:ascii="Century Gothic" w:hAnsi="Century Gothic" w:cs="Arial"/>
          <w:i/>
          <w:iCs/>
          <w:sz w:val="22"/>
          <w:szCs w:val="22"/>
        </w:rPr>
        <w:t>La Junta de Andalucía</w:t>
      </w:r>
      <w:r w:rsidR="00197811" w:rsidRPr="00FA0ED6">
        <w:rPr>
          <w:rFonts w:ascii="Century Gothic" w:hAnsi="Century Gothic" w:cs="Arial"/>
          <w:i/>
          <w:iCs/>
          <w:sz w:val="22"/>
          <w:szCs w:val="22"/>
        </w:rPr>
        <w:t xml:space="preserve">, a través de la Agencia Andaluza de la Energía, ha puesto en marcha una serie de incentivos </w:t>
      </w:r>
      <w:r w:rsidR="00030560" w:rsidRPr="00FA0ED6">
        <w:rPr>
          <w:rFonts w:ascii="Century Gothic" w:hAnsi="Century Gothic" w:cs="Arial"/>
          <w:i/>
          <w:iCs/>
          <w:sz w:val="22"/>
          <w:szCs w:val="22"/>
        </w:rPr>
        <w:t xml:space="preserve">de mejora </w:t>
      </w:r>
      <w:r w:rsidR="000728A0" w:rsidRPr="00FA0ED6">
        <w:rPr>
          <w:rFonts w:ascii="Century Gothic" w:hAnsi="Century Gothic" w:cs="Arial"/>
          <w:i/>
          <w:iCs/>
          <w:sz w:val="22"/>
          <w:szCs w:val="22"/>
        </w:rPr>
        <w:t>e</w:t>
      </w:r>
      <w:r w:rsidR="00030560" w:rsidRPr="00FA0ED6">
        <w:rPr>
          <w:rFonts w:ascii="Century Gothic" w:hAnsi="Century Gothic" w:cs="Arial"/>
          <w:i/>
          <w:iCs/>
          <w:sz w:val="22"/>
          <w:szCs w:val="22"/>
        </w:rPr>
        <w:t xml:space="preserve">nergética del </w:t>
      </w:r>
      <w:r w:rsidR="000728A0" w:rsidRPr="00FA0ED6">
        <w:rPr>
          <w:rFonts w:ascii="Century Gothic" w:hAnsi="Century Gothic" w:cs="Arial"/>
          <w:i/>
          <w:iCs/>
          <w:sz w:val="22"/>
          <w:szCs w:val="22"/>
        </w:rPr>
        <w:t>t</w:t>
      </w:r>
      <w:r w:rsidR="00030560" w:rsidRPr="00FA0ED6">
        <w:rPr>
          <w:rFonts w:ascii="Century Gothic" w:hAnsi="Century Gothic" w:cs="Arial"/>
          <w:i/>
          <w:iCs/>
          <w:sz w:val="22"/>
          <w:szCs w:val="22"/>
        </w:rPr>
        <w:t>ransporte en Andalucía</w:t>
      </w:r>
      <w:r w:rsidR="00332C28" w:rsidRPr="00FA0ED6">
        <w:rPr>
          <w:rFonts w:ascii="Century Gothic" w:hAnsi="Century Gothic" w:cs="Arial"/>
          <w:i/>
          <w:iCs/>
          <w:sz w:val="22"/>
          <w:szCs w:val="22"/>
        </w:rPr>
        <w:t xml:space="preserve"> (Resolución de 11 de abril de 2019</w:t>
      </w:r>
      <w:r w:rsidR="00972730" w:rsidRPr="00FA0ED6">
        <w:rPr>
          <w:rFonts w:ascii="Century Gothic" w:hAnsi="Century Gothic" w:cs="Arial"/>
          <w:i/>
          <w:iCs/>
          <w:sz w:val="22"/>
          <w:szCs w:val="22"/>
        </w:rPr>
        <w:t xml:space="preserve"> publicada en el BOJA de 16/04/19)</w:t>
      </w:r>
      <w:r w:rsidR="000728A0" w:rsidRPr="00FA0ED6">
        <w:rPr>
          <w:rFonts w:ascii="Century Gothic" w:hAnsi="Century Gothic" w:cs="Arial"/>
          <w:i/>
          <w:iCs/>
          <w:sz w:val="22"/>
          <w:szCs w:val="22"/>
        </w:rPr>
        <w:t xml:space="preserve">, </w:t>
      </w:r>
      <w:r w:rsidR="00FD34A0" w:rsidRPr="00FA0ED6">
        <w:rPr>
          <w:rFonts w:ascii="Century Gothic" w:hAnsi="Century Gothic" w:cs="Arial"/>
          <w:i/>
          <w:iCs/>
          <w:sz w:val="22"/>
          <w:szCs w:val="22"/>
        </w:rPr>
        <w:t>cuyos conteni</w:t>
      </w:r>
      <w:r w:rsidR="00EB3482" w:rsidRPr="00FA0ED6">
        <w:rPr>
          <w:rFonts w:ascii="Century Gothic" w:hAnsi="Century Gothic" w:cs="Arial"/>
          <w:i/>
          <w:iCs/>
          <w:sz w:val="22"/>
          <w:szCs w:val="22"/>
        </w:rPr>
        <w:t>dos y desarrollo constituyen el objeto principal de la jornada técnica informativa</w:t>
      </w:r>
      <w:r w:rsidR="00C37904">
        <w:rPr>
          <w:rFonts w:ascii="Century Gothic" w:hAnsi="Century Gothic" w:cs="Arial"/>
          <w:i/>
          <w:iCs/>
          <w:sz w:val="22"/>
          <w:szCs w:val="22"/>
        </w:rPr>
        <w:t>, como oportunidad de mejora energética</w:t>
      </w:r>
      <w:r w:rsidR="00CE2E59">
        <w:rPr>
          <w:rFonts w:ascii="Century Gothic" w:hAnsi="Century Gothic" w:cs="Arial"/>
          <w:i/>
          <w:iCs/>
          <w:sz w:val="22"/>
          <w:szCs w:val="22"/>
        </w:rPr>
        <w:t xml:space="preserve"> en el transporte del sector de la distribución comercial.</w:t>
      </w:r>
    </w:p>
    <w:p w14:paraId="6CDF722A" w14:textId="77777777" w:rsidR="002E1093" w:rsidRPr="00FC5495" w:rsidRDefault="002E1093" w:rsidP="002E1093">
      <w:pPr>
        <w:jc w:val="both"/>
        <w:rPr>
          <w:rFonts w:ascii="Century Gothic" w:hAnsi="Century Gothic" w:cs="Calibri Light"/>
          <w:sz w:val="22"/>
          <w:szCs w:val="22"/>
        </w:rPr>
      </w:pPr>
    </w:p>
    <w:p w14:paraId="532BB529" w14:textId="77777777" w:rsidR="002E1093" w:rsidRPr="00FC5495" w:rsidRDefault="002E1093" w:rsidP="002E1093">
      <w:pPr>
        <w:jc w:val="center"/>
        <w:rPr>
          <w:rFonts w:ascii="Century Gothic" w:hAnsi="Century Gothic" w:cs="Calibri Light"/>
          <w:b/>
          <w:bCs/>
          <w:sz w:val="22"/>
          <w:szCs w:val="22"/>
          <w:u w:val="single"/>
        </w:rPr>
      </w:pPr>
      <w:r w:rsidRPr="00FC5495">
        <w:rPr>
          <w:rFonts w:ascii="Century Gothic" w:hAnsi="Century Gothic" w:cs="Calibri Light"/>
          <w:b/>
          <w:bCs/>
          <w:sz w:val="22"/>
          <w:szCs w:val="22"/>
          <w:u w:val="single"/>
        </w:rPr>
        <w:t>PROGRAMA</w:t>
      </w:r>
    </w:p>
    <w:p w14:paraId="4ED1C221" w14:textId="77777777" w:rsidR="002E1093" w:rsidRPr="00FC5495" w:rsidRDefault="002E1093" w:rsidP="002E1093">
      <w:pPr>
        <w:jc w:val="both"/>
        <w:rPr>
          <w:rFonts w:ascii="Century Gothic" w:hAnsi="Century Gothic" w:cs="Calibri Light"/>
          <w:sz w:val="22"/>
          <w:szCs w:val="22"/>
        </w:rPr>
      </w:pPr>
    </w:p>
    <w:p w14:paraId="15231FFD" w14:textId="049BED4B" w:rsidR="002E1093" w:rsidRPr="00FC5495" w:rsidRDefault="002E1093" w:rsidP="00D7014E">
      <w:pPr>
        <w:pStyle w:val="Prrafodelista"/>
        <w:numPr>
          <w:ilvl w:val="0"/>
          <w:numId w:val="1"/>
        </w:numPr>
        <w:pBdr>
          <w:bottom w:val="single" w:sz="4" w:space="1" w:color="auto"/>
        </w:pBdr>
        <w:ind w:left="360"/>
        <w:jc w:val="both"/>
        <w:rPr>
          <w:rFonts w:ascii="Century Gothic" w:hAnsi="Century Gothic" w:cs="Calibri Light"/>
          <w:sz w:val="22"/>
          <w:szCs w:val="22"/>
        </w:rPr>
      </w:pPr>
      <w:r w:rsidRPr="00FC5495">
        <w:rPr>
          <w:rFonts w:ascii="Century Gothic" w:hAnsi="Century Gothic" w:cs="Calibri Light"/>
          <w:b/>
          <w:sz w:val="22"/>
          <w:szCs w:val="22"/>
        </w:rPr>
        <w:t>9:45</w:t>
      </w:r>
      <w:r w:rsidR="00640EBD" w:rsidRPr="00FC5495">
        <w:rPr>
          <w:rFonts w:ascii="Century Gothic" w:hAnsi="Century Gothic" w:cs="Calibri Light"/>
          <w:b/>
          <w:sz w:val="22"/>
          <w:szCs w:val="22"/>
        </w:rPr>
        <w:t>h</w:t>
      </w:r>
      <w:r w:rsidR="00640EBD" w:rsidRPr="00FC5495">
        <w:rPr>
          <w:rFonts w:ascii="Century Gothic" w:hAnsi="Century Gothic" w:cs="Calibri Light"/>
          <w:sz w:val="22"/>
          <w:szCs w:val="22"/>
        </w:rPr>
        <w:t>.</w:t>
      </w:r>
      <w:r w:rsidRPr="00FC5495">
        <w:rPr>
          <w:rFonts w:ascii="Century Gothic" w:hAnsi="Century Gothic" w:cs="Calibri Light"/>
          <w:sz w:val="22"/>
          <w:szCs w:val="22"/>
        </w:rPr>
        <w:t xml:space="preserve">  </w:t>
      </w:r>
      <w:r w:rsidRPr="00FC5495">
        <w:rPr>
          <w:rFonts w:ascii="Century Gothic" w:hAnsi="Century Gothic" w:cs="Calibri Light"/>
          <w:b/>
          <w:sz w:val="22"/>
          <w:szCs w:val="22"/>
        </w:rPr>
        <w:t>Recepción de asistentes</w:t>
      </w:r>
    </w:p>
    <w:p w14:paraId="46D90EC8" w14:textId="77777777" w:rsidR="0091698F" w:rsidRPr="00FC5495" w:rsidRDefault="0091698F" w:rsidP="005C7FF5">
      <w:pPr>
        <w:jc w:val="both"/>
        <w:rPr>
          <w:rFonts w:ascii="Century Gothic" w:hAnsi="Century Gothic" w:cs="Calibri Light"/>
          <w:sz w:val="22"/>
          <w:szCs w:val="22"/>
        </w:rPr>
      </w:pPr>
    </w:p>
    <w:p w14:paraId="4A5A73E8" w14:textId="3DBC9ABB" w:rsidR="00D7014E" w:rsidRPr="00FC5495" w:rsidRDefault="002E1093" w:rsidP="00D7014E">
      <w:pPr>
        <w:pStyle w:val="Prrafodelista"/>
        <w:numPr>
          <w:ilvl w:val="0"/>
          <w:numId w:val="1"/>
        </w:numPr>
        <w:pBdr>
          <w:bottom w:val="single" w:sz="4" w:space="1" w:color="auto"/>
        </w:pBdr>
        <w:ind w:left="360"/>
        <w:jc w:val="both"/>
        <w:rPr>
          <w:rFonts w:ascii="Century Gothic" w:hAnsi="Century Gothic" w:cs="Calibri Light"/>
          <w:sz w:val="22"/>
          <w:szCs w:val="22"/>
        </w:rPr>
      </w:pPr>
      <w:r w:rsidRPr="00FC5495">
        <w:rPr>
          <w:rFonts w:ascii="Century Gothic" w:hAnsi="Century Gothic" w:cs="Calibri Light"/>
          <w:b/>
          <w:sz w:val="22"/>
          <w:szCs w:val="22"/>
        </w:rPr>
        <w:t>10:00h</w:t>
      </w:r>
      <w:r w:rsidRPr="00FC5495">
        <w:rPr>
          <w:rFonts w:ascii="Century Gothic" w:hAnsi="Century Gothic" w:cs="Calibri Light"/>
          <w:sz w:val="22"/>
          <w:szCs w:val="22"/>
        </w:rPr>
        <w:t xml:space="preserve">. </w:t>
      </w:r>
      <w:r w:rsidRPr="00FC5495">
        <w:rPr>
          <w:rFonts w:ascii="Century Gothic" w:hAnsi="Century Gothic" w:cs="Calibri Light"/>
          <w:b/>
          <w:sz w:val="22"/>
          <w:szCs w:val="22"/>
        </w:rPr>
        <w:t>Presentación de la jornada</w:t>
      </w:r>
    </w:p>
    <w:p w14:paraId="4C5C8F74" w14:textId="77777777" w:rsidR="00FC5495" w:rsidRDefault="00FC5495" w:rsidP="00FC5495">
      <w:pPr>
        <w:pStyle w:val="Prrafodelista"/>
        <w:jc w:val="both"/>
        <w:rPr>
          <w:rFonts w:ascii="Century Gothic" w:hAnsi="Century Gothic" w:cs="Calibri Light"/>
          <w:sz w:val="22"/>
          <w:szCs w:val="22"/>
        </w:rPr>
      </w:pPr>
    </w:p>
    <w:p w14:paraId="25431594" w14:textId="4CFE9101" w:rsidR="00720C85" w:rsidRDefault="0091698F" w:rsidP="00640EBD">
      <w:pPr>
        <w:pStyle w:val="Prrafodelista"/>
        <w:numPr>
          <w:ilvl w:val="0"/>
          <w:numId w:val="2"/>
        </w:numPr>
        <w:jc w:val="both"/>
        <w:rPr>
          <w:rFonts w:ascii="Century Gothic" w:hAnsi="Century Gothic" w:cs="Calibri Light"/>
          <w:sz w:val="22"/>
          <w:szCs w:val="22"/>
        </w:rPr>
      </w:pPr>
      <w:r>
        <w:rPr>
          <w:rFonts w:ascii="Century Gothic" w:hAnsi="Century Gothic" w:cs="Calibri Light"/>
          <w:sz w:val="22"/>
          <w:szCs w:val="22"/>
        </w:rPr>
        <w:t xml:space="preserve">D. Luis Fernández Palacios, secretario general </w:t>
      </w:r>
      <w:r w:rsidR="007E1E8E">
        <w:rPr>
          <w:rFonts w:ascii="Century Gothic" w:hAnsi="Century Gothic" w:cs="Calibri Light"/>
          <w:sz w:val="22"/>
          <w:szCs w:val="22"/>
        </w:rPr>
        <w:t xml:space="preserve">de la </w:t>
      </w:r>
      <w:r w:rsidR="00720C85">
        <w:rPr>
          <w:rFonts w:ascii="Century Gothic" w:hAnsi="Century Gothic" w:cs="Calibri Light"/>
          <w:sz w:val="22"/>
          <w:szCs w:val="22"/>
        </w:rPr>
        <w:t>Confederación de Empresarios de Andalucía (CEA).</w:t>
      </w:r>
    </w:p>
    <w:p w14:paraId="7461C74E" w14:textId="685C7CA7" w:rsidR="00720C85" w:rsidRPr="00FC5495" w:rsidRDefault="007E1E8E" w:rsidP="00720C85">
      <w:pPr>
        <w:pStyle w:val="Prrafodelista"/>
        <w:numPr>
          <w:ilvl w:val="0"/>
          <w:numId w:val="2"/>
        </w:numPr>
        <w:jc w:val="both"/>
        <w:rPr>
          <w:rFonts w:ascii="Century Gothic" w:hAnsi="Century Gothic" w:cs="Calibri Light"/>
          <w:sz w:val="22"/>
          <w:szCs w:val="22"/>
        </w:rPr>
      </w:pPr>
      <w:r>
        <w:rPr>
          <w:rFonts w:ascii="Century Gothic" w:hAnsi="Century Gothic" w:cs="Calibri Light"/>
          <w:sz w:val="22"/>
          <w:szCs w:val="22"/>
        </w:rPr>
        <w:t xml:space="preserve">D. Cristóbal Sánchez, director de Financiación y Proyectos Estratégicos de la </w:t>
      </w:r>
      <w:r w:rsidR="00720C85" w:rsidRPr="00FC5495">
        <w:rPr>
          <w:rFonts w:ascii="Century Gothic" w:hAnsi="Century Gothic" w:cs="Calibri Light"/>
          <w:sz w:val="22"/>
          <w:szCs w:val="22"/>
        </w:rPr>
        <w:t>Agencia Andaluza de la Energía.</w:t>
      </w:r>
    </w:p>
    <w:p w14:paraId="60074669" w14:textId="4E026019" w:rsidR="00640EBD" w:rsidRPr="00FC5495" w:rsidRDefault="007E1E8E" w:rsidP="00640EBD">
      <w:pPr>
        <w:pStyle w:val="Prrafodelista"/>
        <w:numPr>
          <w:ilvl w:val="0"/>
          <w:numId w:val="2"/>
        </w:numPr>
        <w:jc w:val="both"/>
        <w:rPr>
          <w:rFonts w:ascii="Century Gothic" w:hAnsi="Century Gothic" w:cs="Calibri Light"/>
          <w:sz w:val="22"/>
          <w:szCs w:val="22"/>
        </w:rPr>
      </w:pPr>
      <w:r>
        <w:rPr>
          <w:rFonts w:ascii="Century Gothic" w:hAnsi="Century Gothic" w:cs="Calibri Light"/>
          <w:sz w:val="22"/>
          <w:szCs w:val="22"/>
        </w:rPr>
        <w:t xml:space="preserve">Dª. Virginia González Lucena, presidenta de la </w:t>
      </w:r>
      <w:bookmarkStart w:id="0" w:name="_GoBack"/>
      <w:bookmarkEnd w:id="0"/>
      <w:r w:rsidR="00640EBD" w:rsidRPr="00FC5495">
        <w:rPr>
          <w:rFonts w:ascii="Century Gothic" w:hAnsi="Century Gothic" w:cs="Calibri Light"/>
          <w:sz w:val="22"/>
          <w:szCs w:val="22"/>
        </w:rPr>
        <w:t>Confederación Andaluza de Empresarios de Alimentación y Perfumería (CAEA).</w:t>
      </w:r>
    </w:p>
    <w:p w14:paraId="3CF9C114" w14:textId="77777777" w:rsidR="00D7014E" w:rsidRPr="00FC5495" w:rsidRDefault="00D7014E" w:rsidP="00D7014E">
      <w:pPr>
        <w:pStyle w:val="Prrafodelista"/>
        <w:jc w:val="both"/>
        <w:rPr>
          <w:rFonts w:ascii="Century Gothic" w:hAnsi="Century Gothic" w:cs="Calibri Light"/>
          <w:sz w:val="22"/>
          <w:szCs w:val="22"/>
        </w:rPr>
      </w:pPr>
    </w:p>
    <w:p w14:paraId="0B2E4C0A" w14:textId="3A085F39" w:rsidR="00D7014E" w:rsidRPr="00FC5495" w:rsidRDefault="002E1093" w:rsidP="00DB062D">
      <w:pPr>
        <w:pStyle w:val="Prrafodelista"/>
        <w:numPr>
          <w:ilvl w:val="0"/>
          <w:numId w:val="1"/>
        </w:numPr>
        <w:pBdr>
          <w:bottom w:val="single" w:sz="4" w:space="1" w:color="auto"/>
        </w:pBdr>
        <w:ind w:left="360"/>
        <w:jc w:val="both"/>
        <w:rPr>
          <w:rFonts w:ascii="Century Gothic" w:hAnsi="Century Gothic" w:cs="Calibri Light"/>
          <w:sz w:val="22"/>
          <w:szCs w:val="22"/>
        </w:rPr>
      </w:pPr>
      <w:r w:rsidRPr="00FC5495">
        <w:rPr>
          <w:rFonts w:ascii="Century Gothic" w:hAnsi="Century Gothic" w:cs="Calibri Light"/>
          <w:b/>
          <w:sz w:val="22"/>
          <w:szCs w:val="22"/>
        </w:rPr>
        <w:t>10:</w:t>
      </w:r>
      <w:r w:rsidR="00AF2B06" w:rsidRPr="00FC5495">
        <w:rPr>
          <w:rFonts w:ascii="Century Gothic" w:hAnsi="Century Gothic" w:cs="Calibri Light"/>
          <w:b/>
          <w:sz w:val="22"/>
          <w:szCs w:val="22"/>
        </w:rPr>
        <w:t>15</w:t>
      </w:r>
      <w:r w:rsidRPr="00FC5495">
        <w:rPr>
          <w:rFonts w:ascii="Century Gothic" w:hAnsi="Century Gothic" w:cs="Calibri Light"/>
          <w:b/>
          <w:sz w:val="22"/>
          <w:szCs w:val="22"/>
        </w:rPr>
        <w:t>h</w:t>
      </w:r>
      <w:r w:rsidRPr="00FC5495">
        <w:rPr>
          <w:rFonts w:ascii="Century Gothic" w:hAnsi="Century Gothic" w:cs="Calibri Light"/>
          <w:sz w:val="22"/>
          <w:szCs w:val="22"/>
        </w:rPr>
        <w:t xml:space="preserve">. </w:t>
      </w:r>
      <w:r w:rsidR="007F40F7" w:rsidRPr="00FC5495">
        <w:rPr>
          <w:rFonts w:ascii="Century Gothic" w:hAnsi="Century Gothic" w:cs="Calibri Light"/>
          <w:b/>
          <w:sz w:val="22"/>
          <w:szCs w:val="22"/>
        </w:rPr>
        <w:t xml:space="preserve">Oportunidades de mejora energética en el transporte </w:t>
      </w:r>
      <w:r w:rsidR="00D7014E" w:rsidRPr="00FC5495">
        <w:rPr>
          <w:rFonts w:ascii="Century Gothic" w:hAnsi="Century Gothic" w:cs="Calibri Light"/>
          <w:b/>
          <w:sz w:val="22"/>
          <w:szCs w:val="22"/>
        </w:rPr>
        <w:t>del sector de la distribución comercial</w:t>
      </w:r>
    </w:p>
    <w:p w14:paraId="6C04324E" w14:textId="77777777" w:rsidR="00FC5495" w:rsidRDefault="00FC5495" w:rsidP="00FC5495">
      <w:pPr>
        <w:pStyle w:val="Prrafodelista"/>
        <w:jc w:val="both"/>
        <w:rPr>
          <w:rFonts w:ascii="Century Gothic" w:hAnsi="Century Gothic" w:cs="Calibri Light"/>
          <w:sz w:val="22"/>
          <w:szCs w:val="22"/>
        </w:rPr>
      </w:pPr>
    </w:p>
    <w:p w14:paraId="55303BD0" w14:textId="62753767" w:rsidR="000261E7" w:rsidRDefault="00AF2B06" w:rsidP="005521D9">
      <w:pPr>
        <w:pStyle w:val="Prrafodelista"/>
        <w:numPr>
          <w:ilvl w:val="0"/>
          <w:numId w:val="2"/>
        </w:numPr>
        <w:jc w:val="both"/>
        <w:rPr>
          <w:rFonts w:ascii="Century Gothic" w:hAnsi="Century Gothic" w:cs="Calibri Light"/>
          <w:sz w:val="22"/>
          <w:szCs w:val="22"/>
        </w:rPr>
      </w:pPr>
      <w:r w:rsidRPr="00FC5495">
        <w:rPr>
          <w:rFonts w:ascii="Century Gothic" w:hAnsi="Century Gothic" w:cs="Calibri Light"/>
          <w:sz w:val="22"/>
          <w:szCs w:val="22"/>
        </w:rPr>
        <w:t>Bloque I</w:t>
      </w:r>
      <w:r w:rsidR="002E1093" w:rsidRPr="00FC5495">
        <w:rPr>
          <w:rFonts w:ascii="Century Gothic" w:hAnsi="Century Gothic" w:cs="Calibri Light"/>
          <w:sz w:val="22"/>
          <w:szCs w:val="22"/>
        </w:rPr>
        <w:t>.</w:t>
      </w:r>
      <w:r w:rsidRPr="00FC5495">
        <w:rPr>
          <w:rFonts w:ascii="Century Gothic" w:hAnsi="Century Gothic" w:cs="Calibri Light"/>
          <w:sz w:val="22"/>
          <w:szCs w:val="22"/>
        </w:rPr>
        <w:t xml:space="preserve"> </w:t>
      </w:r>
      <w:r w:rsidR="00DC0B30" w:rsidRPr="00FC5495">
        <w:rPr>
          <w:rFonts w:ascii="Century Gothic" w:hAnsi="Century Gothic" w:cs="Calibri Light"/>
          <w:sz w:val="22"/>
          <w:szCs w:val="22"/>
        </w:rPr>
        <w:t xml:space="preserve">Plataformas y centros de distribución. </w:t>
      </w:r>
      <w:r w:rsidRPr="00FC5495">
        <w:rPr>
          <w:rFonts w:ascii="Century Gothic" w:hAnsi="Century Gothic" w:cs="Calibri Light"/>
          <w:sz w:val="22"/>
          <w:szCs w:val="22"/>
        </w:rPr>
        <w:t>Transporte pesado.</w:t>
      </w:r>
    </w:p>
    <w:p w14:paraId="45DB4322" w14:textId="161E6272" w:rsidR="004C449C" w:rsidRPr="003D3EAC" w:rsidRDefault="004C449C" w:rsidP="003D3EAC">
      <w:pPr>
        <w:ind w:left="360"/>
        <w:jc w:val="both"/>
        <w:rPr>
          <w:rFonts w:ascii="Century Gothic" w:hAnsi="Century Gothic" w:cs="Calibri Light"/>
          <w:i/>
          <w:sz w:val="22"/>
          <w:szCs w:val="22"/>
        </w:rPr>
      </w:pPr>
      <w:r w:rsidRPr="003D3EAC">
        <w:rPr>
          <w:rFonts w:ascii="Century Gothic" w:hAnsi="Century Gothic" w:cs="Calibri Light"/>
          <w:i/>
          <w:sz w:val="22"/>
          <w:szCs w:val="22"/>
        </w:rPr>
        <w:t xml:space="preserve">Dª. Eugenia </w:t>
      </w:r>
      <w:r w:rsidR="00B014F1" w:rsidRPr="003D3EAC">
        <w:rPr>
          <w:rFonts w:ascii="Century Gothic" w:hAnsi="Century Gothic" w:cs="Calibri Light"/>
          <w:i/>
          <w:sz w:val="22"/>
          <w:szCs w:val="22"/>
        </w:rPr>
        <w:t>Sillero, secretaria general de la Asociación de Empresas de Gas Natural Vehicular (</w:t>
      </w:r>
      <w:proofErr w:type="spellStart"/>
      <w:r w:rsidR="00B014F1" w:rsidRPr="003D3EAC">
        <w:rPr>
          <w:rFonts w:ascii="Century Gothic" w:hAnsi="Century Gothic" w:cs="Calibri Light"/>
          <w:i/>
          <w:sz w:val="22"/>
          <w:szCs w:val="22"/>
        </w:rPr>
        <w:t>GASNAM</w:t>
      </w:r>
      <w:proofErr w:type="spellEnd"/>
      <w:r w:rsidR="00B014F1" w:rsidRPr="003D3EAC">
        <w:rPr>
          <w:rFonts w:ascii="Century Gothic" w:hAnsi="Century Gothic" w:cs="Calibri Light"/>
          <w:i/>
          <w:sz w:val="22"/>
          <w:szCs w:val="22"/>
        </w:rPr>
        <w:t>).</w:t>
      </w:r>
    </w:p>
    <w:p w14:paraId="195E666C" w14:textId="26B37433" w:rsidR="002E1093" w:rsidRDefault="000261E7" w:rsidP="005521D9">
      <w:pPr>
        <w:pStyle w:val="Prrafodelista"/>
        <w:numPr>
          <w:ilvl w:val="0"/>
          <w:numId w:val="2"/>
        </w:numPr>
        <w:jc w:val="both"/>
        <w:rPr>
          <w:rFonts w:ascii="Century Gothic" w:hAnsi="Century Gothic" w:cs="Calibri Light"/>
          <w:sz w:val="22"/>
          <w:szCs w:val="22"/>
        </w:rPr>
      </w:pPr>
      <w:r w:rsidRPr="00FC5495">
        <w:rPr>
          <w:rFonts w:ascii="Century Gothic" w:hAnsi="Century Gothic" w:cs="Calibri Light"/>
          <w:sz w:val="22"/>
          <w:szCs w:val="22"/>
        </w:rPr>
        <w:t xml:space="preserve">Bloque II. </w:t>
      </w:r>
      <w:r w:rsidR="006623EB" w:rsidRPr="00FC5495">
        <w:rPr>
          <w:rFonts w:ascii="Century Gothic" w:hAnsi="Century Gothic" w:cs="Calibri Light"/>
          <w:sz w:val="22"/>
          <w:szCs w:val="22"/>
        </w:rPr>
        <w:t>Entrega a domicilio. Furgonetas eléctricas.</w:t>
      </w:r>
    </w:p>
    <w:p w14:paraId="4D7D98A0" w14:textId="0FF00073" w:rsidR="00B014F1" w:rsidRPr="003D3EAC" w:rsidRDefault="0097514C" w:rsidP="003D3EAC">
      <w:pPr>
        <w:ind w:left="360"/>
        <w:jc w:val="both"/>
        <w:rPr>
          <w:rFonts w:ascii="Century Gothic" w:hAnsi="Century Gothic" w:cs="Calibri Light"/>
          <w:i/>
          <w:sz w:val="22"/>
          <w:szCs w:val="22"/>
        </w:rPr>
      </w:pPr>
      <w:r w:rsidRPr="003D3EAC">
        <w:rPr>
          <w:rFonts w:ascii="Century Gothic" w:hAnsi="Century Gothic" w:cs="Calibri Light"/>
          <w:i/>
          <w:sz w:val="22"/>
          <w:szCs w:val="22"/>
        </w:rPr>
        <w:t xml:space="preserve">D. Arturo Pérez de Lucía, CEO </w:t>
      </w:r>
      <w:r w:rsidR="00F040A1" w:rsidRPr="003D3EAC">
        <w:rPr>
          <w:rFonts w:ascii="Century Gothic" w:hAnsi="Century Gothic" w:cs="Calibri Light"/>
          <w:i/>
          <w:sz w:val="22"/>
          <w:szCs w:val="22"/>
        </w:rPr>
        <w:t>Asociación Empresarial para el Desarrollo e Impulso del Vehículo Eléctrico (</w:t>
      </w:r>
      <w:proofErr w:type="spellStart"/>
      <w:r w:rsidR="00F040A1" w:rsidRPr="003D3EAC">
        <w:rPr>
          <w:rFonts w:ascii="Century Gothic" w:hAnsi="Century Gothic" w:cs="Calibri Light"/>
          <w:i/>
          <w:sz w:val="22"/>
          <w:szCs w:val="22"/>
        </w:rPr>
        <w:t>AEDIVE</w:t>
      </w:r>
      <w:proofErr w:type="spellEnd"/>
      <w:r w:rsidR="00F040A1" w:rsidRPr="003D3EAC">
        <w:rPr>
          <w:rFonts w:ascii="Century Gothic" w:hAnsi="Century Gothic" w:cs="Calibri Light"/>
          <w:i/>
          <w:sz w:val="22"/>
          <w:szCs w:val="22"/>
        </w:rPr>
        <w:t>).</w:t>
      </w:r>
    </w:p>
    <w:p w14:paraId="7505C321" w14:textId="2D2E6B94" w:rsidR="002E1093" w:rsidRDefault="000F63CC" w:rsidP="005521D9">
      <w:pPr>
        <w:pStyle w:val="Prrafodelista"/>
        <w:numPr>
          <w:ilvl w:val="0"/>
          <w:numId w:val="2"/>
        </w:numPr>
        <w:jc w:val="both"/>
        <w:rPr>
          <w:rFonts w:ascii="Century Gothic" w:hAnsi="Century Gothic" w:cs="Calibri Light"/>
          <w:sz w:val="22"/>
          <w:szCs w:val="22"/>
        </w:rPr>
      </w:pPr>
      <w:r w:rsidRPr="00FC5495">
        <w:rPr>
          <w:rFonts w:ascii="Century Gothic" w:hAnsi="Century Gothic" w:cs="Calibri Light"/>
          <w:sz w:val="22"/>
          <w:szCs w:val="22"/>
        </w:rPr>
        <w:t>Bloque III.</w:t>
      </w:r>
      <w:r w:rsidR="006A5455" w:rsidRPr="00FC5495">
        <w:rPr>
          <w:rFonts w:ascii="Century Gothic" w:hAnsi="Century Gothic" w:cs="Calibri Light"/>
          <w:sz w:val="22"/>
          <w:szCs w:val="22"/>
        </w:rPr>
        <w:t xml:space="preserve"> </w:t>
      </w:r>
      <w:r w:rsidR="00A50539">
        <w:rPr>
          <w:rFonts w:ascii="Century Gothic" w:hAnsi="Century Gothic" w:cs="Calibri Light"/>
          <w:sz w:val="22"/>
          <w:szCs w:val="22"/>
        </w:rPr>
        <w:t>F</w:t>
      </w:r>
      <w:r w:rsidR="00F823F0" w:rsidRPr="00A50539">
        <w:rPr>
          <w:rFonts w:ascii="Century Gothic" w:hAnsi="Century Gothic" w:cs="Calibri Light"/>
          <w:sz w:val="22"/>
          <w:szCs w:val="22"/>
        </w:rPr>
        <w:t>otovoltaica para autoconsumo y recarga de los vehículos</w:t>
      </w:r>
      <w:r w:rsidR="00A50539" w:rsidRPr="00A50539">
        <w:rPr>
          <w:rFonts w:ascii="Century Gothic" w:hAnsi="Century Gothic" w:cs="Calibri Light"/>
          <w:sz w:val="22"/>
          <w:szCs w:val="22"/>
        </w:rPr>
        <w:t xml:space="preserve">. </w:t>
      </w:r>
      <w:r w:rsidRPr="00FC5495">
        <w:rPr>
          <w:rFonts w:ascii="Century Gothic" w:hAnsi="Century Gothic" w:cs="Calibri Light"/>
          <w:sz w:val="22"/>
          <w:szCs w:val="22"/>
        </w:rPr>
        <w:t xml:space="preserve">Infraestructuras de recarga </w:t>
      </w:r>
      <w:r w:rsidR="002F36FA" w:rsidRPr="00FC5495">
        <w:rPr>
          <w:rFonts w:ascii="Century Gothic" w:hAnsi="Century Gothic" w:cs="Calibri Light"/>
          <w:sz w:val="22"/>
          <w:szCs w:val="22"/>
        </w:rPr>
        <w:t>para uso propio y para clientes</w:t>
      </w:r>
      <w:r w:rsidR="002E1093" w:rsidRPr="00FC5495">
        <w:rPr>
          <w:rFonts w:ascii="Century Gothic" w:hAnsi="Century Gothic" w:cs="Calibri Light"/>
          <w:sz w:val="22"/>
          <w:szCs w:val="22"/>
        </w:rPr>
        <w:t>.</w:t>
      </w:r>
    </w:p>
    <w:p w14:paraId="68E1C509" w14:textId="1CE4AD38" w:rsidR="001E2283" w:rsidRPr="003D3EAC" w:rsidRDefault="001E2283" w:rsidP="003D3EAC">
      <w:pPr>
        <w:ind w:firstLine="360"/>
        <w:jc w:val="both"/>
        <w:rPr>
          <w:rFonts w:ascii="Century Gothic" w:hAnsi="Century Gothic" w:cs="Calibri Light"/>
          <w:i/>
          <w:sz w:val="22"/>
          <w:szCs w:val="22"/>
        </w:rPr>
      </w:pPr>
      <w:r w:rsidRPr="003D3EAC">
        <w:rPr>
          <w:rFonts w:ascii="Century Gothic" w:hAnsi="Century Gothic" w:cs="Calibri Light"/>
          <w:i/>
          <w:sz w:val="22"/>
          <w:szCs w:val="22"/>
        </w:rPr>
        <w:lastRenderedPageBreak/>
        <w:t>D. Pedro Charneca, Agencia Andaluza de la Energía.</w:t>
      </w:r>
    </w:p>
    <w:p w14:paraId="6CE42BF9" w14:textId="77777777" w:rsidR="00D7014E" w:rsidRPr="00FC5495" w:rsidRDefault="00D7014E" w:rsidP="00D7014E">
      <w:pPr>
        <w:pStyle w:val="Prrafodelista"/>
        <w:ind w:left="360"/>
        <w:jc w:val="both"/>
        <w:rPr>
          <w:rFonts w:ascii="Century Gothic" w:hAnsi="Century Gothic" w:cs="Calibri Light"/>
          <w:sz w:val="22"/>
          <w:szCs w:val="22"/>
        </w:rPr>
      </w:pPr>
    </w:p>
    <w:p w14:paraId="41DB5BB9" w14:textId="3F38C7CB" w:rsidR="00576B57" w:rsidRPr="00576B57" w:rsidRDefault="00576B57" w:rsidP="00D7014E">
      <w:pPr>
        <w:pStyle w:val="Prrafodelista"/>
        <w:numPr>
          <w:ilvl w:val="0"/>
          <w:numId w:val="1"/>
        </w:numPr>
        <w:pBdr>
          <w:bottom w:val="single" w:sz="4" w:space="1" w:color="auto"/>
        </w:pBdr>
        <w:ind w:left="360"/>
        <w:jc w:val="both"/>
        <w:rPr>
          <w:rFonts w:ascii="Century Gothic" w:hAnsi="Century Gothic" w:cs="Calibri Light"/>
          <w:b/>
          <w:sz w:val="22"/>
          <w:szCs w:val="22"/>
        </w:rPr>
      </w:pPr>
      <w:r w:rsidRPr="00576B57">
        <w:rPr>
          <w:rFonts w:ascii="Century Gothic" w:hAnsi="Century Gothic" w:cs="Calibri Light"/>
          <w:b/>
          <w:sz w:val="22"/>
          <w:szCs w:val="22"/>
        </w:rPr>
        <w:t>11:15h. Casos prácticos en el sector de la distribución comercial</w:t>
      </w:r>
    </w:p>
    <w:p w14:paraId="637A1696" w14:textId="77777777" w:rsidR="003D3EAC" w:rsidRPr="00576B57" w:rsidRDefault="003D3EAC" w:rsidP="00576B57">
      <w:pPr>
        <w:pStyle w:val="Prrafodelista"/>
        <w:ind w:left="360"/>
        <w:jc w:val="both"/>
        <w:rPr>
          <w:rFonts w:ascii="Century Gothic" w:hAnsi="Century Gothic" w:cs="Calibri Light"/>
          <w:sz w:val="22"/>
          <w:szCs w:val="22"/>
        </w:rPr>
      </w:pPr>
    </w:p>
    <w:p w14:paraId="640F6BCD" w14:textId="51F698D4" w:rsidR="000C760B" w:rsidRPr="00FC5495" w:rsidRDefault="002E1093" w:rsidP="00D7014E">
      <w:pPr>
        <w:pStyle w:val="Prrafodelista"/>
        <w:numPr>
          <w:ilvl w:val="0"/>
          <w:numId w:val="1"/>
        </w:numPr>
        <w:pBdr>
          <w:bottom w:val="single" w:sz="4" w:space="1" w:color="auto"/>
        </w:pBdr>
        <w:ind w:left="360"/>
        <w:jc w:val="both"/>
        <w:rPr>
          <w:rFonts w:ascii="Century Gothic" w:hAnsi="Century Gothic" w:cs="Calibri Light"/>
          <w:sz w:val="22"/>
          <w:szCs w:val="22"/>
        </w:rPr>
      </w:pPr>
      <w:r w:rsidRPr="00FC5495">
        <w:rPr>
          <w:rFonts w:ascii="Century Gothic" w:hAnsi="Century Gothic" w:cs="Calibri Light"/>
          <w:b/>
          <w:sz w:val="22"/>
          <w:szCs w:val="22"/>
        </w:rPr>
        <w:t>11:</w:t>
      </w:r>
      <w:r w:rsidR="00576B57">
        <w:rPr>
          <w:rFonts w:ascii="Century Gothic" w:hAnsi="Century Gothic" w:cs="Calibri Light"/>
          <w:b/>
          <w:sz w:val="22"/>
          <w:szCs w:val="22"/>
        </w:rPr>
        <w:t>45</w:t>
      </w:r>
      <w:r w:rsidR="00A8679B" w:rsidRPr="00FC5495">
        <w:rPr>
          <w:rFonts w:ascii="Century Gothic" w:hAnsi="Century Gothic" w:cs="Calibri Light"/>
          <w:b/>
          <w:sz w:val="22"/>
          <w:szCs w:val="22"/>
        </w:rPr>
        <w:t>h</w:t>
      </w:r>
      <w:r w:rsidR="00A8679B" w:rsidRPr="00FC5495">
        <w:rPr>
          <w:rFonts w:ascii="Century Gothic" w:hAnsi="Century Gothic" w:cs="Calibri Light"/>
          <w:sz w:val="22"/>
          <w:szCs w:val="22"/>
        </w:rPr>
        <w:t>.</w:t>
      </w:r>
      <w:r w:rsidRPr="00FC5495">
        <w:rPr>
          <w:rFonts w:ascii="Century Gothic" w:hAnsi="Century Gothic" w:cs="Calibri Light"/>
          <w:sz w:val="22"/>
          <w:szCs w:val="22"/>
        </w:rPr>
        <w:t xml:space="preserve"> </w:t>
      </w:r>
      <w:r w:rsidR="00D808CF" w:rsidRPr="00FC5495">
        <w:rPr>
          <w:rFonts w:ascii="Century Gothic" w:hAnsi="Century Gothic" w:cs="Calibri Light"/>
          <w:b/>
          <w:sz w:val="22"/>
          <w:szCs w:val="22"/>
        </w:rPr>
        <w:t xml:space="preserve">Incentivos de mejora </w:t>
      </w:r>
      <w:r w:rsidR="00920A0D">
        <w:rPr>
          <w:rFonts w:ascii="Century Gothic" w:hAnsi="Century Gothic" w:cs="Calibri Light"/>
          <w:b/>
          <w:sz w:val="22"/>
          <w:szCs w:val="22"/>
        </w:rPr>
        <w:t>e</w:t>
      </w:r>
      <w:r w:rsidR="00D808CF" w:rsidRPr="00FC5495">
        <w:rPr>
          <w:rFonts w:ascii="Century Gothic" w:hAnsi="Century Gothic" w:cs="Calibri Light"/>
          <w:b/>
          <w:sz w:val="22"/>
          <w:szCs w:val="22"/>
        </w:rPr>
        <w:t xml:space="preserve">nergética del </w:t>
      </w:r>
      <w:r w:rsidR="00920A0D">
        <w:rPr>
          <w:rFonts w:ascii="Century Gothic" w:hAnsi="Century Gothic" w:cs="Calibri Light"/>
          <w:b/>
          <w:sz w:val="22"/>
          <w:szCs w:val="22"/>
        </w:rPr>
        <w:t>t</w:t>
      </w:r>
      <w:r w:rsidR="00D808CF" w:rsidRPr="00FC5495">
        <w:rPr>
          <w:rFonts w:ascii="Century Gothic" w:hAnsi="Century Gothic" w:cs="Calibri Light"/>
          <w:b/>
          <w:sz w:val="22"/>
          <w:szCs w:val="22"/>
        </w:rPr>
        <w:t>ransporte en Andalucía</w:t>
      </w:r>
    </w:p>
    <w:p w14:paraId="7EAF4D26" w14:textId="168E1A90" w:rsidR="00D7014E" w:rsidRDefault="00D7014E" w:rsidP="00D7014E">
      <w:pPr>
        <w:jc w:val="both"/>
        <w:rPr>
          <w:rFonts w:ascii="Century Gothic" w:hAnsi="Century Gothic" w:cs="Calibri Light"/>
          <w:sz w:val="22"/>
          <w:szCs w:val="22"/>
        </w:rPr>
      </w:pPr>
    </w:p>
    <w:p w14:paraId="649DBC8F" w14:textId="5EEE77FB" w:rsidR="003D3EAC" w:rsidRPr="00FA0ED6" w:rsidRDefault="003D3EAC" w:rsidP="00FA0ED6">
      <w:pPr>
        <w:pStyle w:val="Prrafodelista"/>
        <w:numPr>
          <w:ilvl w:val="0"/>
          <w:numId w:val="2"/>
        </w:numPr>
        <w:jc w:val="both"/>
        <w:rPr>
          <w:rFonts w:ascii="Century Gothic" w:hAnsi="Century Gothic" w:cs="Calibri Light"/>
          <w:i/>
          <w:sz w:val="22"/>
          <w:szCs w:val="22"/>
        </w:rPr>
      </w:pPr>
      <w:r w:rsidRPr="00FA0ED6">
        <w:rPr>
          <w:rFonts w:ascii="Century Gothic" w:hAnsi="Century Gothic" w:cs="Calibri Light"/>
          <w:i/>
          <w:sz w:val="22"/>
          <w:szCs w:val="22"/>
        </w:rPr>
        <w:t>Dª. Gema Cantero</w:t>
      </w:r>
      <w:r w:rsidR="00FA0ED6" w:rsidRPr="00FA0ED6">
        <w:rPr>
          <w:rFonts w:ascii="Century Gothic" w:hAnsi="Century Gothic" w:cs="Calibri Light"/>
          <w:i/>
          <w:sz w:val="22"/>
          <w:szCs w:val="22"/>
        </w:rPr>
        <w:t>, Agencia Andaluza de la Energía.</w:t>
      </w:r>
    </w:p>
    <w:p w14:paraId="47B8DC6E" w14:textId="77777777" w:rsidR="003D3EAC" w:rsidRPr="00FC5495" w:rsidRDefault="003D3EAC" w:rsidP="00D7014E">
      <w:pPr>
        <w:jc w:val="both"/>
        <w:rPr>
          <w:rFonts w:ascii="Century Gothic" w:hAnsi="Century Gothic" w:cs="Calibri Light"/>
          <w:sz w:val="22"/>
          <w:szCs w:val="22"/>
        </w:rPr>
      </w:pPr>
    </w:p>
    <w:p w14:paraId="094EB999" w14:textId="5F83405B" w:rsidR="000C760B" w:rsidRPr="00FC5495" w:rsidRDefault="000C760B" w:rsidP="005521D9">
      <w:pPr>
        <w:pStyle w:val="Prrafodelista"/>
        <w:numPr>
          <w:ilvl w:val="0"/>
          <w:numId w:val="1"/>
        </w:numPr>
        <w:pBdr>
          <w:bottom w:val="single" w:sz="4" w:space="1" w:color="auto"/>
        </w:pBdr>
        <w:ind w:left="360"/>
        <w:jc w:val="both"/>
        <w:rPr>
          <w:rFonts w:ascii="Century Gothic" w:hAnsi="Century Gothic" w:cs="Calibri Light"/>
          <w:sz w:val="22"/>
          <w:szCs w:val="22"/>
        </w:rPr>
      </w:pPr>
      <w:r w:rsidRPr="00FC5495">
        <w:rPr>
          <w:rFonts w:ascii="Century Gothic" w:hAnsi="Century Gothic" w:cs="Calibri Light"/>
          <w:b/>
          <w:sz w:val="22"/>
          <w:szCs w:val="22"/>
        </w:rPr>
        <w:t>12:15h</w:t>
      </w:r>
      <w:r w:rsidRPr="00FC5495">
        <w:rPr>
          <w:rFonts w:ascii="Century Gothic" w:hAnsi="Century Gothic" w:cs="Calibri Light"/>
          <w:sz w:val="22"/>
          <w:szCs w:val="22"/>
        </w:rPr>
        <w:t xml:space="preserve">. </w:t>
      </w:r>
      <w:r w:rsidRPr="00FC5495">
        <w:rPr>
          <w:rFonts w:ascii="Century Gothic" w:hAnsi="Century Gothic" w:cs="Calibri Light"/>
          <w:b/>
          <w:sz w:val="22"/>
          <w:szCs w:val="22"/>
        </w:rPr>
        <w:t>Debate y conclusiones</w:t>
      </w:r>
    </w:p>
    <w:p w14:paraId="4948DE3E" w14:textId="77777777" w:rsidR="005521D9" w:rsidRPr="00FC5495" w:rsidRDefault="005521D9" w:rsidP="005521D9">
      <w:pPr>
        <w:jc w:val="both"/>
        <w:rPr>
          <w:rFonts w:ascii="Century Gothic" w:hAnsi="Century Gothic" w:cs="Calibri Light"/>
          <w:sz w:val="22"/>
          <w:szCs w:val="22"/>
        </w:rPr>
      </w:pPr>
    </w:p>
    <w:p w14:paraId="111D29AD" w14:textId="7F1412C7" w:rsidR="0093738B" w:rsidRPr="0063237F" w:rsidRDefault="000C760B" w:rsidP="0063237F">
      <w:pPr>
        <w:pStyle w:val="Prrafodelista"/>
        <w:numPr>
          <w:ilvl w:val="0"/>
          <w:numId w:val="1"/>
        </w:numPr>
        <w:pBdr>
          <w:bottom w:val="single" w:sz="4" w:space="1" w:color="auto"/>
        </w:pBdr>
        <w:ind w:left="360"/>
        <w:jc w:val="both"/>
        <w:rPr>
          <w:rFonts w:ascii="Century Gothic" w:hAnsi="Century Gothic" w:cs="Calibri Light"/>
          <w:sz w:val="22"/>
          <w:szCs w:val="22"/>
        </w:rPr>
      </w:pPr>
      <w:r w:rsidRPr="00FC5495">
        <w:rPr>
          <w:rFonts w:ascii="Century Gothic" w:hAnsi="Century Gothic" w:cs="Calibri Light"/>
          <w:b/>
          <w:sz w:val="22"/>
          <w:szCs w:val="22"/>
        </w:rPr>
        <w:t>12:30h.</w:t>
      </w:r>
      <w:r w:rsidRPr="00FC5495">
        <w:rPr>
          <w:rFonts w:ascii="Century Gothic" w:hAnsi="Century Gothic" w:cs="Calibri Light"/>
          <w:sz w:val="22"/>
          <w:szCs w:val="22"/>
        </w:rPr>
        <w:t xml:space="preserve"> </w:t>
      </w:r>
      <w:r w:rsidRPr="00FC5495">
        <w:rPr>
          <w:rFonts w:ascii="Century Gothic" w:hAnsi="Century Gothic" w:cs="Calibri Light"/>
          <w:b/>
          <w:sz w:val="22"/>
          <w:szCs w:val="22"/>
        </w:rPr>
        <w:t>Fin de la jornada</w:t>
      </w:r>
    </w:p>
    <w:sectPr w:rsidR="0093738B" w:rsidRPr="0063237F" w:rsidSect="009B1F82">
      <w:headerReference w:type="default" r:id="rId7"/>
      <w:footerReference w:type="default" r:id="rId8"/>
      <w:pgSz w:w="11906" w:h="16838"/>
      <w:pgMar w:top="1417" w:right="1701" w:bottom="851" w:left="1701" w:header="284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90DC8" w14:textId="77777777" w:rsidR="00B25321" w:rsidRDefault="00B25321" w:rsidP="005C7A5F">
      <w:r>
        <w:separator/>
      </w:r>
    </w:p>
  </w:endnote>
  <w:endnote w:type="continuationSeparator" w:id="0">
    <w:p w14:paraId="43630AFD" w14:textId="77777777" w:rsidR="00B25321" w:rsidRDefault="00B25321" w:rsidP="005C7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lober Regular">
    <w:altName w:val="Times New Roman"/>
    <w:panose1 w:val="00000000000000000000"/>
    <w:charset w:val="00"/>
    <w:family w:val="modern"/>
    <w:notTrueType/>
    <w:pitch w:val="variable"/>
    <w:sig w:usb0="A00002AF" w:usb1="5000207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A1F8C" w14:textId="77777777" w:rsidR="0093738B" w:rsidRDefault="0093738B" w:rsidP="0093738B">
    <w:pPr>
      <w:pStyle w:val="Piedepgina"/>
      <w:tabs>
        <w:tab w:val="left" w:pos="520"/>
      </w:tabs>
      <w:spacing w:line="276" w:lineRule="auto"/>
      <w:rPr>
        <w:rFonts w:ascii="Glober Regular" w:hAnsi="Glober Regular"/>
        <w:noProof/>
        <w:sz w:val="16"/>
        <w:szCs w:val="16"/>
      </w:rPr>
    </w:pPr>
    <w:r w:rsidRPr="0093738B">
      <w:rPr>
        <w:rFonts w:ascii="Glober Regular" w:hAnsi="Glober Regular"/>
        <w:noProof/>
        <w:sz w:val="16"/>
        <w:szCs w:val="16"/>
      </w:rPr>
      <w:drawing>
        <wp:inline distT="0" distB="0" distL="0" distR="0" wp14:anchorId="5EB98F49" wp14:editId="0FBACD8C">
          <wp:extent cx="5400040" cy="51498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lober Regular" w:hAnsi="Glober Regular"/>
        <w:noProof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56402" w14:textId="77777777" w:rsidR="00B25321" w:rsidRDefault="00B25321" w:rsidP="005C7A5F">
      <w:r>
        <w:separator/>
      </w:r>
    </w:p>
  </w:footnote>
  <w:footnote w:type="continuationSeparator" w:id="0">
    <w:p w14:paraId="0903F21F" w14:textId="77777777" w:rsidR="00B25321" w:rsidRDefault="00B25321" w:rsidP="005C7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2DB10" w14:textId="39329D99" w:rsidR="005C7A5F" w:rsidRDefault="002E1093" w:rsidP="002E1093">
    <w:pPr>
      <w:pStyle w:val="Encabezado"/>
      <w:jc w:val="both"/>
    </w:pPr>
    <w:r>
      <w:rPr>
        <w:noProof/>
      </w:rPr>
      <w:drawing>
        <wp:inline distT="0" distB="0" distL="0" distR="0" wp14:anchorId="47DDEBCD" wp14:editId="27ABE46D">
          <wp:extent cx="1764571" cy="66617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AEA horizontal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5173" cy="6852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="00B24332">
      <w:t xml:space="preserve">                     </w:t>
    </w:r>
    <w:r>
      <w:t xml:space="preserve">   </w:t>
    </w:r>
    <w:r w:rsidR="00B24332">
      <w:rPr>
        <w:noProof/>
      </w:rPr>
      <w:drawing>
        <wp:inline distT="0" distB="0" distL="0" distR="0" wp14:anchorId="0AC33E53" wp14:editId="4741BFE2">
          <wp:extent cx="2739178" cy="492501"/>
          <wp:effectExtent l="0" t="0" r="4445" b="3175"/>
          <wp:docPr id="3" name="Imagen 3" descr="Logo Agencia Andaluza de la EnergÃ­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gencia Andaluza de la EnergÃ­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5650" cy="4972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7F02D6"/>
    <w:multiLevelType w:val="hybridMultilevel"/>
    <w:tmpl w:val="0986A3C6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94C2BBB"/>
    <w:multiLevelType w:val="hybridMultilevel"/>
    <w:tmpl w:val="C0C61C4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2038F6"/>
    <w:multiLevelType w:val="hybridMultilevel"/>
    <w:tmpl w:val="EDEE8CD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93"/>
    <w:rsid w:val="000261E7"/>
    <w:rsid w:val="00026AE5"/>
    <w:rsid w:val="00030560"/>
    <w:rsid w:val="00033272"/>
    <w:rsid w:val="00046281"/>
    <w:rsid w:val="000608F7"/>
    <w:rsid w:val="000728A0"/>
    <w:rsid w:val="000828BE"/>
    <w:rsid w:val="000C1CD9"/>
    <w:rsid w:val="000C760B"/>
    <w:rsid w:val="000D2152"/>
    <w:rsid w:val="000F63CC"/>
    <w:rsid w:val="00181C1D"/>
    <w:rsid w:val="00197811"/>
    <w:rsid w:val="001D7B11"/>
    <w:rsid w:val="001E2283"/>
    <w:rsid w:val="001F05BE"/>
    <w:rsid w:val="00252279"/>
    <w:rsid w:val="00273118"/>
    <w:rsid w:val="002B6E27"/>
    <w:rsid w:val="002C1E53"/>
    <w:rsid w:val="002D2E6C"/>
    <w:rsid w:val="002D6586"/>
    <w:rsid w:val="002E1093"/>
    <w:rsid w:val="002F36FA"/>
    <w:rsid w:val="00321D5F"/>
    <w:rsid w:val="00332C28"/>
    <w:rsid w:val="00334959"/>
    <w:rsid w:val="00366946"/>
    <w:rsid w:val="003A5403"/>
    <w:rsid w:val="003A6F15"/>
    <w:rsid w:val="003D3EAC"/>
    <w:rsid w:val="003D4957"/>
    <w:rsid w:val="00450B9A"/>
    <w:rsid w:val="00454004"/>
    <w:rsid w:val="0047623B"/>
    <w:rsid w:val="004B117B"/>
    <w:rsid w:val="004B4640"/>
    <w:rsid w:val="004B5E49"/>
    <w:rsid w:val="004C449C"/>
    <w:rsid w:val="005521D9"/>
    <w:rsid w:val="00553937"/>
    <w:rsid w:val="00576B57"/>
    <w:rsid w:val="005A5037"/>
    <w:rsid w:val="005C7A5F"/>
    <w:rsid w:val="005C7FF5"/>
    <w:rsid w:val="005E4475"/>
    <w:rsid w:val="006206C1"/>
    <w:rsid w:val="0063237F"/>
    <w:rsid w:val="00640EBD"/>
    <w:rsid w:val="006623EB"/>
    <w:rsid w:val="006A5455"/>
    <w:rsid w:val="00720C85"/>
    <w:rsid w:val="007223C1"/>
    <w:rsid w:val="00754B11"/>
    <w:rsid w:val="007A2114"/>
    <w:rsid w:val="007E1E8E"/>
    <w:rsid w:val="007F40F7"/>
    <w:rsid w:val="007F697E"/>
    <w:rsid w:val="008131FE"/>
    <w:rsid w:val="008622DE"/>
    <w:rsid w:val="00882765"/>
    <w:rsid w:val="00886BF6"/>
    <w:rsid w:val="008C09D8"/>
    <w:rsid w:val="008E75E2"/>
    <w:rsid w:val="008F2296"/>
    <w:rsid w:val="0091698F"/>
    <w:rsid w:val="00920A0D"/>
    <w:rsid w:val="0093738B"/>
    <w:rsid w:val="00972730"/>
    <w:rsid w:val="0097514C"/>
    <w:rsid w:val="00995D94"/>
    <w:rsid w:val="009B1F82"/>
    <w:rsid w:val="009F1D0D"/>
    <w:rsid w:val="00A50539"/>
    <w:rsid w:val="00A70DA0"/>
    <w:rsid w:val="00A8679B"/>
    <w:rsid w:val="00AB6811"/>
    <w:rsid w:val="00AD06FA"/>
    <w:rsid w:val="00AF2B06"/>
    <w:rsid w:val="00B014F1"/>
    <w:rsid w:val="00B06682"/>
    <w:rsid w:val="00B24332"/>
    <w:rsid w:val="00B25321"/>
    <w:rsid w:val="00B54099"/>
    <w:rsid w:val="00BB7749"/>
    <w:rsid w:val="00C378F2"/>
    <w:rsid w:val="00C37904"/>
    <w:rsid w:val="00CB12AD"/>
    <w:rsid w:val="00CE2E59"/>
    <w:rsid w:val="00D356AD"/>
    <w:rsid w:val="00D6604A"/>
    <w:rsid w:val="00D7014E"/>
    <w:rsid w:val="00D808CF"/>
    <w:rsid w:val="00DB062D"/>
    <w:rsid w:val="00DC0B30"/>
    <w:rsid w:val="00E4127E"/>
    <w:rsid w:val="00E436BC"/>
    <w:rsid w:val="00E44956"/>
    <w:rsid w:val="00E67985"/>
    <w:rsid w:val="00EA1BA1"/>
    <w:rsid w:val="00EB3482"/>
    <w:rsid w:val="00F00B55"/>
    <w:rsid w:val="00F040A1"/>
    <w:rsid w:val="00F3457B"/>
    <w:rsid w:val="00F3664D"/>
    <w:rsid w:val="00F823F0"/>
    <w:rsid w:val="00FA0ED6"/>
    <w:rsid w:val="00FC5495"/>
    <w:rsid w:val="00FC7393"/>
    <w:rsid w:val="00FD34A0"/>
    <w:rsid w:val="00FD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6C282A"/>
  <w15:docId w15:val="{9394C57A-F160-4280-85C1-6C5884D1B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BA1"/>
    <w:rPr>
      <w:color w:val="000000"/>
      <w:sz w:val="28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C7A5F"/>
    <w:rPr>
      <w:color w:val="000000"/>
      <w:sz w:val="28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5C7A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7A5F"/>
  </w:style>
  <w:style w:type="paragraph" w:styleId="Piedepgina">
    <w:name w:val="footer"/>
    <w:basedOn w:val="Normal"/>
    <w:link w:val="PiedepginaCar"/>
    <w:uiPriority w:val="99"/>
    <w:unhideWhenUsed/>
    <w:rsid w:val="005C7A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7A5F"/>
  </w:style>
  <w:style w:type="paragraph" w:styleId="Textodeglobo">
    <w:name w:val="Balloon Text"/>
    <w:basedOn w:val="Normal"/>
    <w:link w:val="TextodegloboCar"/>
    <w:uiPriority w:val="99"/>
    <w:semiHidden/>
    <w:unhideWhenUsed/>
    <w:rsid w:val="005C7A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A5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70DA0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D6EE4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A86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1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Plantillas%20personalizadas%20de%20Office\Logo%20CAE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 CAEA</Template>
  <TotalTime>64</TotalTime>
  <Pages>2</Pages>
  <Words>414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CAEA SGT</dc:creator>
  <cp:lastModifiedBy>CAEA SGT</cp:lastModifiedBy>
  <cp:revision>76</cp:revision>
  <cp:lastPrinted>2017-10-18T07:09:00Z</cp:lastPrinted>
  <dcterms:created xsi:type="dcterms:W3CDTF">2019-04-17T09:14:00Z</dcterms:created>
  <dcterms:modified xsi:type="dcterms:W3CDTF">2019-04-26T07:53:00Z</dcterms:modified>
</cp:coreProperties>
</file>